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9E" w:rsidRDefault="00307689" w:rsidP="000C3F33">
      <w:pPr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855ABF" w:rsidRDefault="00855ABF" w:rsidP="000C3F33">
      <w:pPr>
        <w:jc w:val="center"/>
        <w:rPr>
          <w:sz w:val="28"/>
          <w:szCs w:val="28"/>
        </w:rPr>
      </w:pPr>
    </w:p>
    <w:p w:rsidR="00E1686B" w:rsidRPr="004E1303" w:rsidRDefault="00E1686B" w:rsidP="000C3F3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0C3F3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0C3F3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0C3F3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0C3F33">
      <w:pPr>
        <w:jc w:val="center"/>
        <w:rPr>
          <w:sz w:val="28"/>
          <w:szCs w:val="28"/>
        </w:rPr>
      </w:pPr>
    </w:p>
    <w:p w:rsidR="00E1686B" w:rsidRPr="004E1303" w:rsidRDefault="00E1686B" w:rsidP="000C3F3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0C3F33">
      <w:pPr>
        <w:jc w:val="center"/>
      </w:pPr>
    </w:p>
    <w:p w:rsidR="00E1686B" w:rsidRPr="00F06E7D" w:rsidRDefault="00E1686B" w:rsidP="000C3F33">
      <w:pPr>
        <w:jc w:val="center"/>
        <w:rPr>
          <w:sz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06E7D">
        <w:rPr>
          <w:b/>
          <w:sz w:val="52"/>
          <w:szCs w:val="52"/>
        </w:rPr>
        <w:t xml:space="preserve">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E32490" w:rsidRDefault="00E32490" w:rsidP="00E1686B">
      <w:pPr>
        <w:tabs>
          <w:tab w:val="left" w:pos="6960"/>
        </w:tabs>
        <w:rPr>
          <w:sz w:val="28"/>
          <w:szCs w:val="28"/>
          <w:u w:val="single"/>
        </w:rPr>
      </w:pPr>
      <w:r w:rsidRPr="00E32490">
        <w:rPr>
          <w:sz w:val="28"/>
          <w:szCs w:val="28"/>
          <w:u w:val="single"/>
        </w:rPr>
        <w:t>24.12.2018</w:t>
      </w:r>
      <w:r w:rsidR="00E1686B" w:rsidRPr="00E32490">
        <w:rPr>
          <w:sz w:val="28"/>
          <w:szCs w:val="28"/>
          <w:u w:val="single"/>
        </w:rPr>
        <w:t xml:space="preserve">       </w:t>
      </w:r>
      <w:r w:rsidR="00E1686B">
        <w:rPr>
          <w:sz w:val="28"/>
          <w:szCs w:val="28"/>
        </w:rPr>
        <w:t xml:space="preserve">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E1686B" w:rsidRPr="00BD15A7">
        <w:rPr>
          <w:sz w:val="28"/>
          <w:szCs w:val="28"/>
        </w:rPr>
        <w:t xml:space="preserve">№ </w:t>
      </w:r>
      <w:r w:rsidRPr="00E32490">
        <w:rPr>
          <w:sz w:val="28"/>
          <w:szCs w:val="28"/>
          <w:u w:val="single"/>
        </w:rPr>
        <w:t>359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Pr="00B71FB2" w:rsidRDefault="00E1686B" w:rsidP="00E1686B">
      <w:pPr>
        <w:rPr>
          <w:sz w:val="10"/>
          <w:szCs w:val="28"/>
        </w:rPr>
      </w:pPr>
    </w:p>
    <w:p w:rsidR="00FE3E20" w:rsidRPr="000C3F33" w:rsidRDefault="00FE3E20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 xml:space="preserve">О внесении изменений в Постановление </w:t>
      </w:r>
      <w:r w:rsidR="008D6334" w:rsidRPr="000C3F33">
        <w:rPr>
          <w:rFonts w:ascii="Times New Roman" w:hAnsi="Times New Roman" w:cs="Times New Roman"/>
        </w:rPr>
        <w:t>а</w:t>
      </w:r>
      <w:r w:rsidRPr="000C3F33">
        <w:rPr>
          <w:rFonts w:ascii="Times New Roman" w:hAnsi="Times New Roman" w:cs="Times New Roman"/>
        </w:rPr>
        <w:t xml:space="preserve">дминистрации </w:t>
      </w:r>
    </w:p>
    <w:p w:rsidR="008D6334" w:rsidRPr="000C3F33" w:rsidRDefault="00FE3E20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>МО «Дубровское городское поселение»</w:t>
      </w:r>
      <w:r w:rsidR="008D6334" w:rsidRPr="000C3F33">
        <w:rPr>
          <w:rFonts w:ascii="Times New Roman" w:hAnsi="Times New Roman" w:cs="Times New Roman"/>
        </w:rPr>
        <w:t xml:space="preserve"> </w:t>
      </w:r>
      <w:r w:rsidRPr="000C3F33">
        <w:rPr>
          <w:rFonts w:ascii="Times New Roman" w:hAnsi="Times New Roman" w:cs="Times New Roman"/>
        </w:rPr>
        <w:t xml:space="preserve">Всеволожского </w:t>
      </w:r>
    </w:p>
    <w:p w:rsidR="00FE3E20" w:rsidRPr="000C3F33" w:rsidRDefault="00FE3E20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>муниципального района Ленинградской области  №</w:t>
      </w:r>
      <w:r w:rsidR="00840F96" w:rsidRPr="000C3F33">
        <w:rPr>
          <w:rFonts w:ascii="Times New Roman" w:hAnsi="Times New Roman" w:cs="Times New Roman"/>
        </w:rPr>
        <w:t>408</w:t>
      </w:r>
      <w:r w:rsidRPr="000C3F33">
        <w:rPr>
          <w:rFonts w:ascii="Times New Roman" w:hAnsi="Times New Roman" w:cs="Times New Roman"/>
        </w:rPr>
        <w:t xml:space="preserve"> от </w:t>
      </w:r>
      <w:r w:rsidR="00840F96" w:rsidRPr="000C3F33">
        <w:rPr>
          <w:rFonts w:ascii="Times New Roman" w:hAnsi="Times New Roman" w:cs="Times New Roman"/>
        </w:rPr>
        <w:t>09.11.2016</w:t>
      </w:r>
      <w:r w:rsidRPr="000C3F33">
        <w:rPr>
          <w:rFonts w:ascii="Times New Roman" w:hAnsi="Times New Roman" w:cs="Times New Roman"/>
        </w:rPr>
        <w:t xml:space="preserve">. </w:t>
      </w:r>
    </w:p>
    <w:p w:rsidR="008D6334" w:rsidRPr="000C3F33" w:rsidRDefault="00BD15A7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>«</w:t>
      </w:r>
      <w:r w:rsidR="00840F96" w:rsidRPr="000C3F33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</w:t>
      </w:r>
    </w:p>
    <w:p w:rsidR="000C3F33" w:rsidRPr="000C3F33" w:rsidRDefault="00840F96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>муниципальной услуги «</w:t>
      </w:r>
      <w:r w:rsidR="000C3F33" w:rsidRPr="000C3F33">
        <w:rPr>
          <w:rFonts w:ascii="Times New Roman" w:hAnsi="Times New Roman" w:cs="Times New Roman"/>
        </w:rPr>
        <w:t xml:space="preserve">Предоставление разрешения на осуществление </w:t>
      </w:r>
    </w:p>
    <w:p w:rsidR="00E1686B" w:rsidRPr="000C3F33" w:rsidRDefault="000C3F33" w:rsidP="000C3F33">
      <w:pPr>
        <w:pStyle w:val="ad"/>
        <w:rPr>
          <w:rFonts w:ascii="Times New Roman" w:hAnsi="Times New Roman" w:cs="Times New Roman"/>
        </w:rPr>
      </w:pPr>
      <w:r w:rsidRPr="000C3F33">
        <w:rPr>
          <w:rFonts w:ascii="Times New Roman" w:hAnsi="Times New Roman" w:cs="Times New Roman"/>
        </w:rPr>
        <w:t xml:space="preserve">земляных работ </w:t>
      </w:r>
      <w:r w:rsidR="00840F96" w:rsidRPr="000C3F33">
        <w:rPr>
          <w:rFonts w:ascii="Times New Roman" w:hAnsi="Times New Roman" w:cs="Times New Roman"/>
        </w:rPr>
        <w:t>(в новой редакции)»</w:t>
      </w:r>
    </w:p>
    <w:p w:rsidR="00523E4C" w:rsidRPr="00B71FB2" w:rsidRDefault="00523E4C" w:rsidP="00C0572E">
      <w:pPr>
        <w:pStyle w:val="ad"/>
        <w:rPr>
          <w:rFonts w:ascii="Times New Roman" w:hAnsi="Times New Roman" w:cs="Times New Roman"/>
          <w:sz w:val="4"/>
        </w:rPr>
      </w:pPr>
    </w:p>
    <w:p w:rsidR="000C3F33" w:rsidRPr="00B71FB2" w:rsidRDefault="000C3F33" w:rsidP="00B71F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 во исполнение пункта 18 Перечня поручений Губернатора Ленинградской области от 04.09.2018 №659208/2018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E7D" w:rsidRPr="00B71FB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Pr="00840F96" w:rsidRDefault="00E1686B" w:rsidP="00840F9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40F9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840F96">
        <w:rPr>
          <w:rFonts w:ascii="Times New Roman" w:hAnsi="Times New Roman" w:cs="Times New Roman"/>
          <w:sz w:val="28"/>
          <w:szCs w:val="28"/>
        </w:rPr>
        <w:t>П</w:t>
      </w:r>
      <w:r w:rsidR="003570A1" w:rsidRPr="00840F96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840F96">
        <w:rPr>
          <w:rFonts w:ascii="Times New Roman" w:hAnsi="Times New Roman" w:cs="Times New Roman"/>
          <w:sz w:val="28"/>
          <w:szCs w:val="28"/>
        </w:rPr>
        <w:t>408</w:t>
      </w:r>
      <w:r w:rsidR="003570A1" w:rsidRPr="00840F96">
        <w:rPr>
          <w:rFonts w:ascii="Times New Roman" w:hAnsi="Times New Roman" w:cs="Times New Roman"/>
          <w:sz w:val="28"/>
          <w:szCs w:val="28"/>
        </w:rPr>
        <w:t xml:space="preserve"> от </w:t>
      </w:r>
      <w:r w:rsidR="00840F96">
        <w:rPr>
          <w:rFonts w:ascii="Times New Roman" w:hAnsi="Times New Roman" w:cs="Times New Roman"/>
          <w:sz w:val="28"/>
          <w:szCs w:val="28"/>
        </w:rPr>
        <w:t>09.11.2016</w:t>
      </w:r>
      <w:r w:rsidR="003570A1" w:rsidRPr="00840F96">
        <w:rPr>
          <w:rFonts w:ascii="Times New Roman" w:hAnsi="Times New Roman" w:cs="Times New Roman"/>
          <w:sz w:val="28"/>
          <w:szCs w:val="28"/>
        </w:rPr>
        <w:t xml:space="preserve"> </w:t>
      </w:r>
      <w:r w:rsidR="00F06E7D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40F96">
        <w:rPr>
          <w:rFonts w:ascii="Times New Roman" w:hAnsi="Times New Roman" w:cs="Times New Roman"/>
          <w:sz w:val="28"/>
          <w:szCs w:val="28"/>
        </w:rPr>
        <w:t>«</w:t>
      </w:r>
      <w:r w:rsidR="00840F96" w:rsidRPr="00840F9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C3F33" w:rsidRPr="000C3F33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разрешения на осуществление земляных работ</w:t>
      </w:r>
      <w:r w:rsidR="000C3F33" w:rsidRPr="000C3F33">
        <w:rPr>
          <w:rFonts w:ascii="Times New Roman" w:hAnsi="Times New Roman" w:cs="Times New Roman"/>
          <w:sz w:val="28"/>
          <w:szCs w:val="28"/>
        </w:rPr>
        <w:t xml:space="preserve"> </w:t>
      </w:r>
      <w:r w:rsidR="00840F96" w:rsidRPr="000C3F33">
        <w:rPr>
          <w:rFonts w:ascii="Times New Roman" w:hAnsi="Times New Roman" w:cs="Times New Roman"/>
          <w:sz w:val="28"/>
          <w:szCs w:val="28"/>
        </w:rPr>
        <w:t>(в новой редакции)</w:t>
      </w:r>
      <w:r w:rsidR="00840F96" w:rsidRPr="00840F96">
        <w:rPr>
          <w:rFonts w:ascii="Times New Roman" w:hAnsi="Times New Roman" w:cs="Times New Roman"/>
          <w:sz w:val="28"/>
          <w:szCs w:val="28"/>
        </w:rPr>
        <w:t>»</w:t>
      </w:r>
      <w:r w:rsidR="00840F9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840F9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C3F33" w:rsidRDefault="003570A1" w:rsidP="000C3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7B69">
        <w:rPr>
          <w:sz w:val="28"/>
          <w:szCs w:val="28"/>
        </w:rPr>
        <w:t>.</w:t>
      </w:r>
      <w:r w:rsidR="00DF64FB" w:rsidRPr="00DF64FB">
        <w:rPr>
          <w:sz w:val="28"/>
          <w:szCs w:val="28"/>
        </w:rPr>
        <w:t xml:space="preserve"> </w:t>
      </w:r>
      <w:r w:rsidR="000C3F33">
        <w:rPr>
          <w:sz w:val="28"/>
          <w:szCs w:val="28"/>
        </w:rPr>
        <w:t>Пункт 2.4 изложить</w:t>
      </w:r>
      <w:r w:rsidR="000C3F33" w:rsidRPr="00C4716E">
        <w:rPr>
          <w:sz w:val="28"/>
          <w:szCs w:val="28"/>
        </w:rPr>
        <w:t xml:space="preserve"> в следующей редакции:</w:t>
      </w:r>
    </w:p>
    <w:p w:rsidR="000C3F33" w:rsidRPr="000C3F33" w:rsidRDefault="000C3F33" w:rsidP="000C3F3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C3F33">
        <w:rPr>
          <w:sz w:val="32"/>
          <w:szCs w:val="28"/>
        </w:rPr>
        <w:t>«</w:t>
      </w:r>
      <w:r w:rsidRPr="000C3F33">
        <w:rPr>
          <w:sz w:val="28"/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0C3F33" w:rsidRPr="000C3F33" w:rsidRDefault="000C3F33" w:rsidP="000C3F3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C3F33">
        <w:rPr>
          <w:sz w:val="28"/>
          <w:szCs w:val="28"/>
        </w:rPr>
        <w:t xml:space="preserve">- при </w:t>
      </w:r>
      <w:r w:rsidRPr="000C3F33">
        <w:rPr>
          <w:color w:val="000000"/>
          <w:sz w:val="28"/>
          <w:szCs w:val="28"/>
        </w:rPr>
        <w:t xml:space="preserve">предоставлении </w:t>
      </w:r>
      <w:r w:rsidRPr="000C3F33">
        <w:rPr>
          <w:sz w:val="28"/>
          <w:szCs w:val="28"/>
        </w:rPr>
        <w:t xml:space="preserve">разрешения (ордера) на </w:t>
      </w:r>
      <w:r w:rsidRPr="000C3F33">
        <w:rPr>
          <w:color w:val="000000"/>
          <w:sz w:val="28"/>
          <w:szCs w:val="28"/>
        </w:rPr>
        <w:t>осуществление</w:t>
      </w:r>
      <w:r w:rsidRPr="000C3F33">
        <w:rPr>
          <w:sz w:val="28"/>
          <w:szCs w:val="28"/>
        </w:rPr>
        <w:t xml:space="preserve"> земляных работ не должен превышать 10 (десять) рабочих дней;</w:t>
      </w:r>
    </w:p>
    <w:p w:rsidR="000C3F33" w:rsidRPr="000C3F33" w:rsidRDefault="000C3F33" w:rsidP="000C3F3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C3F33">
        <w:rPr>
          <w:sz w:val="28"/>
          <w:szCs w:val="28"/>
        </w:rPr>
        <w:t>- при продлении</w:t>
      </w:r>
      <w:r w:rsidRPr="000C3F33">
        <w:rPr>
          <w:bCs/>
          <w:sz w:val="28"/>
          <w:szCs w:val="28"/>
        </w:rPr>
        <w:t xml:space="preserve"> разрешения (ордера) на </w:t>
      </w:r>
      <w:r w:rsidRPr="000C3F33">
        <w:rPr>
          <w:bCs/>
          <w:color w:val="000000"/>
          <w:sz w:val="28"/>
          <w:szCs w:val="28"/>
        </w:rPr>
        <w:t>осуществление</w:t>
      </w:r>
      <w:r w:rsidRPr="000C3F33">
        <w:rPr>
          <w:bCs/>
          <w:sz w:val="28"/>
          <w:szCs w:val="28"/>
        </w:rPr>
        <w:t xml:space="preserve"> земляных работ</w:t>
      </w:r>
      <w:r w:rsidRPr="000C3F33">
        <w:rPr>
          <w:sz w:val="28"/>
          <w:szCs w:val="28"/>
        </w:rPr>
        <w:t xml:space="preserve"> - не более 6 (шести) рабочих дней;</w:t>
      </w:r>
    </w:p>
    <w:p w:rsidR="000C3F33" w:rsidRDefault="000C3F33" w:rsidP="000C3F3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C3F33">
        <w:rPr>
          <w:sz w:val="28"/>
          <w:szCs w:val="28"/>
        </w:rPr>
        <w:t>при закрытии</w:t>
      </w:r>
      <w:r w:rsidRPr="000C3F33">
        <w:rPr>
          <w:bCs/>
          <w:sz w:val="28"/>
          <w:szCs w:val="28"/>
        </w:rPr>
        <w:t xml:space="preserve"> разрешения (ордера) на </w:t>
      </w:r>
      <w:r w:rsidRPr="000C3F33">
        <w:rPr>
          <w:bCs/>
          <w:color w:val="000000"/>
          <w:sz w:val="28"/>
          <w:szCs w:val="28"/>
        </w:rPr>
        <w:t>осуществление</w:t>
      </w:r>
      <w:r w:rsidRPr="000C3F33">
        <w:rPr>
          <w:bCs/>
          <w:sz w:val="28"/>
          <w:szCs w:val="28"/>
        </w:rPr>
        <w:t xml:space="preserve"> земляных работ</w:t>
      </w:r>
      <w:r w:rsidRPr="000C3F33">
        <w:rPr>
          <w:sz w:val="28"/>
          <w:szCs w:val="28"/>
        </w:rPr>
        <w:t xml:space="preserve"> – не более 7 (семи) рабочих дней».</w:t>
      </w:r>
    </w:p>
    <w:p w:rsidR="00800842" w:rsidRPr="00C4716E" w:rsidRDefault="00800842" w:rsidP="000C3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3F33">
        <w:rPr>
          <w:sz w:val="28"/>
          <w:szCs w:val="28"/>
        </w:rPr>
        <w:t>Пункт 2.7</w:t>
      </w:r>
      <w:r w:rsidRPr="00C471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4716E">
        <w:rPr>
          <w:sz w:val="28"/>
          <w:szCs w:val="28"/>
        </w:rPr>
        <w:t xml:space="preserve"> в следующей редакции:</w:t>
      </w:r>
    </w:p>
    <w:p w:rsidR="000C3F33" w:rsidRDefault="00800842" w:rsidP="000C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3F33">
        <w:rPr>
          <w:sz w:val="28"/>
          <w:szCs w:val="28"/>
        </w:rPr>
        <w:t>2.7. Исчерпывающий перечень административных действий, осуществляемых государственными органами, органами местного самоуправления и подведом</w:t>
      </w:r>
      <w:r w:rsidR="000C3F33">
        <w:rPr>
          <w:sz w:val="28"/>
          <w:szCs w:val="28"/>
        </w:rPr>
        <w:lastRenderedPageBreak/>
        <w:t>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автоматизированной системы межведомственного информационного взаимодействия Ленинградской области (при наличии технической возможности), по электронной почте или иным доступном способом на электронном или бумажном носителе:</w:t>
      </w:r>
    </w:p>
    <w:p w:rsidR="000C3F33" w:rsidRDefault="000C3F33" w:rsidP="000C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выписки из Единого государственного реестра прав на недвижимое имущество и сделок с ним (котор</w:t>
      </w:r>
      <w:r w:rsidR="00F06E7D">
        <w:rPr>
          <w:sz w:val="28"/>
          <w:szCs w:val="28"/>
        </w:rPr>
        <w:t>ый</w:t>
      </w:r>
      <w:r>
        <w:rPr>
          <w:sz w:val="28"/>
          <w:szCs w:val="28"/>
        </w:rPr>
        <w:t xml:space="preserve"> содержит общедоступные сведения о зарегистрированных правах на объект недвижимости);</w:t>
      </w:r>
    </w:p>
    <w:p w:rsidR="000C3F33" w:rsidRDefault="000C3F33" w:rsidP="000C3F3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согласование копий материалов проектной документации (включая топографическую съемку места работ в масштабе 1:500) с:</w:t>
      </w:r>
    </w:p>
    <w:p w:rsidR="000C3F33" w:rsidRDefault="000C3F33" w:rsidP="000C3F3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</w:t>
      </w:r>
      <w:r>
        <w:rPr>
          <w:sz w:val="28"/>
          <w:szCs w:val="28"/>
        </w:rPr>
        <w:t xml:space="preserve"> </w:t>
      </w:r>
    </w:p>
    <w:p w:rsidR="000C3F33" w:rsidRDefault="000C3F33" w:rsidP="000C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0C3F33" w:rsidRDefault="000C3F33" w:rsidP="000C3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схемы организации дорожного движения транспорта и пешеходов на период</w:t>
      </w:r>
      <w:r>
        <w:rPr>
          <w:sz w:val="28"/>
          <w:szCs w:val="28"/>
          <w:shd w:val="clear" w:color="auto" w:fill="FFFFFF"/>
        </w:rPr>
        <w:t xml:space="preserve"> осуществления</w:t>
      </w:r>
      <w:r>
        <w:rPr>
          <w:sz w:val="28"/>
          <w:szCs w:val="28"/>
        </w:rPr>
        <w:t xml:space="preserve"> (производства) работ (проект безопасности дорожного движения) в случае нарушения их маршрутов движения с:</w:t>
      </w:r>
    </w:p>
    <w:p w:rsidR="00800842" w:rsidRDefault="000C3F33" w:rsidP="000C3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Государственной инспекцией безопасности дорожного движения</w:t>
      </w:r>
      <w:r w:rsidR="00800842" w:rsidRPr="00800842">
        <w:rPr>
          <w:bCs/>
          <w:color w:val="000000"/>
          <w:sz w:val="28"/>
          <w:szCs w:val="28"/>
        </w:rPr>
        <w:t>»</w:t>
      </w:r>
      <w:r w:rsidR="00800842" w:rsidRPr="00800842">
        <w:rPr>
          <w:sz w:val="28"/>
          <w:szCs w:val="28"/>
        </w:rPr>
        <w:t>.</w:t>
      </w:r>
    </w:p>
    <w:p w:rsidR="00800842" w:rsidRDefault="00800842" w:rsidP="00800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06E7D">
        <w:rPr>
          <w:sz w:val="28"/>
          <w:szCs w:val="28"/>
        </w:rPr>
        <w:t xml:space="preserve">Абзац шестой пункта 4.3.2 </w:t>
      </w:r>
      <w:r>
        <w:rPr>
          <w:sz w:val="28"/>
          <w:szCs w:val="28"/>
        </w:rPr>
        <w:t>изложить</w:t>
      </w:r>
      <w:r w:rsidRPr="00C4716E">
        <w:rPr>
          <w:sz w:val="28"/>
          <w:szCs w:val="28"/>
        </w:rPr>
        <w:t xml:space="preserve"> в следующей редакции:</w:t>
      </w:r>
    </w:p>
    <w:p w:rsidR="00F06E7D" w:rsidRPr="00F06E7D" w:rsidRDefault="00800842" w:rsidP="00F06E7D">
      <w:pPr>
        <w:ind w:firstLine="709"/>
        <w:jc w:val="both"/>
        <w:rPr>
          <w:sz w:val="28"/>
        </w:rPr>
      </w:pPr>
      <w:r w:rsidRPr="00F06E7D">
        <w:rPr>
          <w:sz w:val="32"/>
        </w:rPr>
        <w:t>«</w:t>
      </w:r>
      <w:r w:rsidR="00F06E7D" w:rsidRPr="00F06E7D">
        <w:rPr>
          <w:sz w:val="28"/>
        </w:rPr>
        <w:t xml:space="preserve">4 действие: проверка документов и подготовка проекта решения в течение 1 рабочего дня. Должностное лицо администрации МО проверяет полноту и достоверность, а также сами сведения, содержащиеся в представленном заявлении и приложенных к нему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документов».  </w:t>
      </w:r>
    </w:p>
    <w:p w:rsidR="00800842" w:rsidRPr="00800842" w:rsidRDefault="00800842" w:rsidP="00800842">
      <w:pPr>
        <w:ind w:firstLine="567"/>
        <w:jc w:val="both"/>
        <w:rPr>
          <w:strike/>
          <w:sz w:val="28"/>
        </w:rPr>
      </w:pPr>
      <w:r w:rsidRPr="00800842">
        <w:rPr>
          <w:spacing w:val="-4"/>
          <w:sz w:val="28"/>
        </w:rPr>
        <w:t xml:space="preserve">1.4. </w:t>
      </w:r>
      <w:r w:rsidR="00F06E7D">
        <w:rPr>
          <w:spacing w:val="-4"/>
          <w:sz w:val="28"/>
        </w:rPr>
        <w:t>Допо</w:t>
      </w:r>
      <w:r w:rsidR="00B71FB2">
        <w:rPr>
          <w:spacing w:val="-4"/>
          <w:sz w:val="28"/>
        </w:rPr>
        <w:t>лнить пункт 6.2 подпунктами 8),</w:t>
      </w:r>
      <w:r w:rsidR="00F06E7D">
        <w:rPr>
          <w:spacing w:val="-4"/>
          <w:sz w:val="28"/>
        </w:rPr>
        <w:t xml:space="preserve"> 9)</w:t>
      </w:r>
      <w:r w:rsidR="00B71FB2">
        <w:rPr>
          <w:spacing w:val="-4"/>
          <w:sz w:val="28"/>
        </w:rPr>
        <w:t xml:space="preserve"> и 10) </w:t>
      </w:r>
      <w:r w:rsidR="00F06E7D">
        <w:rPr>
          <w:spacing w:val="-4"/>
          <w:sz w:val="28"/>
        </w:rPr>
        <w:t xml:space="preserve"> и</w:t>
      </w:r>
      <w:r>
        <w:rPr>
          <w:spacing w:val="-4"/>
          <w:sz w:val="28"/>
        </w:rPr>
        <w:t xml:space="preserve"> изложить</w:t>
      </w:r>
      <w:r w:rsidR="00F06E7D">
        <w:rPr>
          <w:spacing w:val="-4"/>
          <w:sz w:val="28"/>
        </w:rPr>
        <w:t xml:space="preserve"> их </w:t>
      </w:r>
      <w:r>
        <w:rPr>
          <w:spacing w:val="-4"/>
          <w:sz w:val="28"/>
        </w:rPr>
        <w:t>в следующей редакции:</w:t>
      </w:r>
    </w:p>
    <w:p w:rsidR="00F06E7D" w:rsidRPr="00F06E7D" w:rsidRDefault="00800842" w:rsidP="00F06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E7D">
        <w:rPr>
          <w:sz w:val="28"/>
          <w:szCs w:val="28"/>
        </w:rPr>
        <w:t>«</w:t>
      </w:r>
      <w:r w:rsidR="00F06E7D" w:rsidRPr="00F06E7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1FB2" w:rsidRDefault="00F06E7D" w:rsidP="00F06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6E7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F06E7D">
          <w:rPr>
            <w:sz w:val="28"/>
            <w:szCs w:val="28"/>
          </w:rPr>
          <w:t>частью 1.3 статьи 16</w:t>
        </w:r>
      </w:hyperlink>
      <w:r w:rsidRPr="00F06E7D">
        <w:rPr>
          <w:sz w:val="28"/>
          <w:szCs w:val="28"/>
        </w:rPr>
        <w:t xml:space="preserve"> Федерального закона от  27.07.2010 № 210-ФЗ</w:t>
      </w:r>
    </w:p>
    <w:p w:rsidR="00F06E7D" w:rsidRDefault="00B71FB2" w:rsidP="00F06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B71FB2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</w:t>
      </w:r>
      <w:r w:rsidRPr="004A4F32">
        <w:rPr>
          <w:sz w:val="28"/>
          <w:szCs w:val="28"/>
        </w:rPr>
        <w:lastRenderedPageBreak/>
        <w:t xml:space="preserve">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 w:rsidR="00F06E7D">
        <w:rPr>
          <w:sz w:val="28"/>
          <w:szCs w:val="28"/>
        </w:rPr>
        <w:t>»</w:t>
      </w:r>
      <w:r w:rsidR="00F06E7D" w:rsidRPr="00F06E7D">
        <w:rPr>
          <w:sz w:val="28"/>
          <w:szCs w:val="28"/>
        </w:rPr>
        <w:t>.</w:t>
      </w:r>
    </w:p>
    <w:p w:rsidR="00B71FB2" w:rsidRDefault="00B71FB2" w:rsidP="00B71FB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6.7 изложить в следующей редакции:</w:t>
      </w:r>
    </w:p>
    <w:p w:rsidR="00B71FB2" w:rsidRPr="008609B5" w:rsidRDefault="00B71FB2" w:rsidP="00B71FB2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</w:t>
      </w:r>
      <w:r>
        <w:rPr>
          <w:sz w:val="28"/>
          <w:szCs w:val="28"/>
        </w:rPr>
        <w:t xml:space="preserve">6.7. </w:t>
      </w:r>
      <w:r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B71FB2" w:rsidRPr="008609B5" w:rsidRDefault="00B71FB2" w:rsidP="00B71FB2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71FB2" w:rsidRPr="008609B5" w:rsidRDefault="00B71FB2" w:rsidP="00B71FB2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B71FB2" w:rsidRPr="008609B5" w:rsidRDefault="00B71FB2" w:rsidP="00B71FB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B71FB2" w:rsidRPr="008609B5" w:rsidRDefault="00B71FB2" w:rsidP="00B71FB2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1FB2" w:rsidRDefault="00B71FB2" w:rsidP="00B71FB2">
      <w:pPr>
        <w:pStyle w:val="af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71FB2" w:rsidRPr="00F06E7D" w:rsidRDefault="00B71FB2" w:rsidP="00B71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9B5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pacing w:val="-7"/>
          <w:sz w:val="28"/>
        </w:rPr>
        <w:t>»</w:t>
      </w:r>
      <w:r w:rsidRPr="00540A6F">
        <w:rPr>
          <w:spacing w:val="-7"/>
          <w:sz w:val="28"/>
        </w:rPr>
        <w:t>.</w:t>
      </w:r>
    </w:p>
    <w:p w:rsidR="00BC2C62" w:rsidRDefault="00BC2C62" w:rsidP="00C0572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62" w:rsidRPr="00935E78" w:rsidRDefault="00BC2C62" w:rsidP="00C0572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BC2C62" w:rsidRPr="00935E78" w:rsidRDefault="00BC2C62" w:rsidP="00C0572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C0572E" w:rsidRDefault="00BC2C62" w:rsidP="00C0572E">
      <w:pPr>
        <w:pStyle w:val="ad"/>
        <w:ind w:firstLine="567"/>
        <w:jc w:val="both"/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71F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572E" w:rsidRPr="00B71FB2" w:rsidRDefault="00BC2C62" w:rsidP="00B71FB2">
      <w:pPr>
        <w:pStyle w:val="ad"/>
        <w:ind w:firstLine="567"/>
        <w:jc w:val="both"/>
        <w:rPr>
          <w:sz w:val="20"/>
          <w:szCs w:val="20"/>
        </w:rPr>
      </w:pPr>
      <w:r w:rsidRPr="00E1686B">
        <w:t xml:space="preserve">                                 </w:t>
      </w: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BC2C62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BC2C62" w:rsidRPr="00E1686B" w:rsidRDefault="00BC2C62" w:rsidP="00BC2C62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BC2C62" w:rsidRPr="00E1686B" w:rsidSect="00840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63D4"/>
    <w:rsid w:val="00083DA9"/>
    <w:rsid w:val="000959A0"/>
    <w:rsid w:val="000961B2"/>
    <w:rsid w:val="000B7796"/>
    <w:rsid w:val="000C108A"/>
    <w:rsid w:val="000C3F33"/>
    <w:rsid w:val="000D1F78"/>
    <w:rsid w:val="00112028"/>
    <w:rsid w:val="0015745D"/>
    <w:rsid w:val="001B03E8"/>
    <w:rsid w:val="001D10B0"/>
    <w:rsid w:val="001D26F9"/>
    <w:rsid w:val="001D78F9"/>
    <w:rsid w:val="001E2877"/>
    <w:rsid w:val="001E2CCB"/>
    <w:rsid w:val="00235C97"/>
    <w:rsid w:val="00236918"/>
    <w:rsid w:val="002416F4"/>
    <w:rsid w:val="00242AFD"/>
    <w:rsid w:val="00242E9D"/>
    <w:rsid w:val="00250A3C"/>
    <w:rsid w:val="0029066A"/>
    <w:rsid w:val="00291C9A"/>
    <w:rsid w:val="00292937"/>
    <w:rsid w:val="0029711E"/>
    <w:rsid w:val="002A6E82"/>
    <w:rsid w:val="002F130E"/>
    <w:rsid w:val="002F633A"/>
    <w:rsid w:val="00303D50"/>
    <w:rsid w:val="00306341"/>
    <w:rsid w:val="00307689"/>
    <w:rsid w:val="00345C7F"/>
    <w:rsid w:val="003570A1"/>
    <w:rsid w:val="00360326"/>
    <w:rsid w:val="00363263"/>
    <w:rsid w:val="00375526"/>
    <w:rsid w:val="00390F63"/>
    <w:rsid w:val="003945CF"/>
    <w:rsid w:val="00412347"/>
    <w:rsid w:val="00421971"/>
    <w:rsid w:val="00431269"/>
    <w:rsid w:val="00452FBD"/>
    <w:rsid w:val="00455BAE"/>
    <w:rsid w:val="00456671"/>
    <w:rsid w:val="00473DC4"/>
    <w:rsid w:val="004822B8"/>
    <w:rsid w:val="0049772E"/>
    <w:rsid w:val="004C2CD8"/>
    <w:rsid w:val="004C725A"/>
    <w:rsid w:val="00511551"/>
    <w:rsid w:val="00517049"/>
    <w:rsid w:val="00523E4C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7083C"/>
    <w:rsid w:val="00673421"/>
    <w:rsid w:val="0067709E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00842"/>
    <w:rsid w:val="008107A9"/>
    <w:rsid w:val="0081727D"/>
    <w:rsid w:val="00830A90"/>
    <w:rsid w:val="00836707"/>
    <w:rsid w:val="00840F96"/>
    <w:rsid w:val="00842C03"/>
    <w:rsid w:val="008473DD"/>
    <w:rsid w:val="00855ABF"/>
    <w:rsid w:val="0087269B"/>
    <w:rsid w:val="00876070"/>
    <w:rsid w:val="00884BC5"/>
    <w:rsid w:val="00896E80"/>
    <w:rsid w:val="008A2FF0"/>
    <w:rsid w:val="008A72C1"/>
    <w:rsid w:val="008A7A8B"/>
    <w:rsid w:val="008D6334"/>
    <w:rsid w:val="008E27F4"/>
    <w:rsid w:val="00914A9C"/>
    <w:rsid w:val="00947114"/>
    <w:rsid w:val="00981B2B"/>
    <w:rsid w:val="00996386"/>
    <w:rsid w:val="009A3AD9"/>
    <w:rsid w:val="00A276BC"/>
    <w:rsid w:val="00A440CB"/>
    <w:rsid w:val="00A814A4"/>
    <w:rsid w:val="00A97EEF"/>
    <w:rsid w:val="00AA0EB5"/>
    <w:rsid w:val="00AE2AE3"/>
    <w:rsid w:val="00AF0029"/>
    <w:rsid w:val="00AF4D13"/>
    <w:rsid w:val="00B019BA"/>
    <w:rsid w:val="00B2286A"/>
    <w:rsid w:val="00B33BDC"/>
    <w:rsid w:val="00B465BF"/>
    <w:rsid w:val="00B71FB2"/>
    <w:rsid w:val="00B96D29"/>
    <w:rsid w:val="00BA25C4"/>
    <w:rsid w:val="00BA5381"/>
    <w:rsid w:val="00BB55A2"/>
    <w:rsid w:val="00BB5710"/>
    <w:rsid w:val="00BC2C62"/>
    <w:rsid w:val="00BD15A7"/>
    <w:rsid w:val="00BE4A9D"/>
    <w:rsid w:val="00BF3C38"/>
    <w:rsid w:val="00C0572E"/>
    <w:rsid w:val="00C05A97"/>
    <w:rsid w:val="00C07E86"/>
    <w:rsid w:val="00C10882"/>
    <w:rsid w:val="00C37A6E"/>
    <w:rsid w:val="00C6064B"/>
    <w:rsid w:val="00CC4C8C"/>
    <w:rsid w:val="00D20D05"/>
    <w:rsid w:val="00D517DD"/>
    <w:rsid w:val="00D55E42"/>
    <w:rsid w:val="00D64A68"/>
    <w:rsid w:val="00D6714D"/>
    <w:rsid w:val="00D71048"/>
    <w:rsid w:val="00D9070E"/>
    <w:rsid w:val="00DC22F8"/>
    <w:rsid w:val="00DF64FB"/>
    <w:rsid w:val="00E1583A"/>
    <w:rsid w:val="00E1686B"/>
    <w:rsid w:val="00E22ECC"/>
    <w:rsid w:val="00E32490"/>
    <w:rsid w:val="00E37B26"/>
    <w:rsid w:val="00E46D7A"/>
    <w:rsid w:val="00E643B9"/>
    <w:rsid w:val="00EE7B69"/>
    <w:rsid w:val="00EF3636"/>
    <w:rsid w:val="00F05712"/>
    <w:rsid w:val="00F06E7D"/>
    <w:rsid w:val="00F30998"/>
    <w:rsid w:val="00F34EA6"/>
    <w:rsid w:val="00F46D1A"/>
    <w:rsid w:val="00F56C6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2219"/>
  <w15:docId w15:val="{A2A06165-3F0C-49AA-B61F-C291E8E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800842"/>
    <w:rPr>
      <w:color w:val="106BBE"/>
    </w:rPr>
  </w:style>
  <w:style w:type="paragraph" w:styleId="af">
    <w:name w:val="List Paragraph"/>
    <w:basedOn w:val="a"/>
    <w:qFormat/>
    <w:rsid w:val="00B7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1B2442BCA7A3FE7150037B8DB8B3D0F32311B5A6C6BCBF88C60617F47EE45E4EE4EE7E7812FF710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21</cp:revision>
  <cp:lastPrinted>2017-12-13T05:54:00Z</cp:lastPrinted>
  <dcterms:created xsi:type="dcterms:W3CDTF">2016-02-09T14:10:00Z</dcterms:created>
  <dcterms:modified xsi:type="dcterms:W3CDTF">2018-12-25T09:10:00Z</dcterms:modified>
</cp:coreProperties>
</file>